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№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0019-01-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000921-07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№ 5-</w:t>
      </w:r>
      <w:r>
        <w:rPr>
          <w:rFonts w:ascii="Times New Roman" w:eastAsia="Times New Roman" w:hAnsi="Times New Roman" w:cs="Times New Roman"/>
          <w:sz w:val="26"/>
          <w:szCs w:val="26"/>
        </w:rPr>
        <w:t>162</w:t>
      </w:r>
      <w:r>
        <w:rPr>
          <w:rFonts w:ascii="Times New Roman" w:eastAsia="Times New Roman" w:hAnsi="Times New Roman" w:cs="Times New Roman"/>
          <w:sz w:val="26"/>
          <w:szCs w:val="26"/>
        </w:rPr>
        <w:t>-190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Мегион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Мегионского судебного района Ханты – 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Яковченко М.В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с участием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привлекаемой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Мулеевой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участием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инспектора ГОООПОО Нижневартовского МОВО – филиала ФГКУ «УВО ВНГ России по ХМАО-Югре» </w:t>
      </w:r>
      <w:r>
        <w:rPr>
          <w:rStyle w:val="cat-UserDefinedgrp-8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ст. 20.35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коммерческого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«Оникс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Мулеевой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Розы </w:t>
      </w:r>
      <w:r>
        <w:rPr>
          <w:rFonts w:ascii="Times New Roman" w:eastAsia="Times New Roman" w:hAnsi="Times New Roman" w:cs="Times New Roman"/>
          <w:sz w:val="26"/>
          <w:szCs w:val="26"/>
        </w:rPr>
        <w:t>Рагиповны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7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ходе </w:t>
      </w:r>
      <w:r>
        <w:rPr>
          <w:rFonts w:ascii="Times New Roman" w:eastAsia="Times New Roman" w:hAnsi="Times New Roman" w:cs="Times New Roman"/>
          <w:sz w:val="26"/>
          <w:szCs w:val="26"/>
        </w:rPr>
        <w:t>работы межведомственной комиссии по плановому обследованию объ</w:t>
      </w:r>
      <w:r>
        <w:rPr>
          <w:rFonts w:ascii="Times New Roman" w:eastAsia="Times New Roman" w:hAnsi="Times New Roman" w:cs="Times New Roman"/>
          <w:sz w:val="26"/>
          <w:szCs w:val="26"/>
        </w:rPr>
        <w:t>екта торговли ООО «Оникс К.Т.К»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магазин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«Копейка», расположенного по адресу: ХМАО – Югра, г. Мегион, ул. Заречная, д. 15/3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Мулеева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коммерческим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Оникс К.Т.К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ответственным за антитеррористическую защищенность,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находясь по адресу места исполнения своих должностных обязанностей: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Мегион,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ул. Заречная,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 15/3, магазин «Копейка»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нарушила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>. «Б» п. 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anchor="/document/71793560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остановлени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.2017 N </w:t>
      </w:r>
      <w:r>
        <w:rPr>
          <w:rFonts w:ascii="Times New Roman" w:eastAsia="Times New Roman" w:hAnsi="Times New Roman" w:cs="Times New Roman"/>
          <w:sz w:val="26"/>
          <w:szCs w:val="26"/>
        </w:rPr>
        <w:t>1273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требований к антитеррористической защищенности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торговых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объектов (территорий) и формы паспорта безопасности </w:t>
      </w:r>
      <w:r>
        <w:rPr>
          <w:rFonts w:ascii="Times New Roman" w:eastAsia="Times New Roman" w:hAnsi="Times New Roman" w:cs="Times New Roman"/>
          <w:sz w:val="26"/>
          <w:szCs w:val="26"/>
        </w:rPr>
        <w:t>торгового объекта (территории)»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в ее действиях признаков уголовно - наказуемого деяния,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обеспечила устранение в срок до 00:01 часов 30.12</w:t>
      </w:r>
      <w:r>
        <w:rPr>
          <w:rFonts w:ascii="Times New Roman" w:eastAsia="Times New Roman" w:hAnsi="Times New Roman" w:cs="Times New Roman"/>
          <w:sz w:val="26"/>
          <w:szCs w:val="26"/>
        </w:rPr>
        <w:t>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обследовании объекта торговли ООО «Оникс К.Т.К»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магазина «Копейка» </w:t>
      </w:r>
      <w:r>
        <w:rPr>
          <w:rFonts w:ascii="Times New Roman" w:eastAsia="Times New Roman" w:hAnsi="Times New Roman" w:cs="Times New Roman"/>
          <w:sz w:val="26"/>
          <w:szCs w:val="26"/>
        </w:rPr>
        <w:t>недостатка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данном объекте системы оповещени</w:t>
      </w:r>
      <w:r>
        <w:rPr>
          <w:rFonts w:ascii="Times New Roman" w:eastAsia="Times New Roman" w:hAnsi="Times New Roman" w:cs="Times New Roman"/>
          <w:sz w:val="26"/>
          <w:szCs w:val="26"/>
        </w:rPr>
        <w:t>я и управления эвакуацией людей, согласно акту обследования от 28.03.2023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составлении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ею </w:t>
      </w:r>
      <w:r>
        <w:rPr>
          <w:rFonts w:ascii="Times New Roman" w:eastAsia="Times New Roman" w:hAnsi="Times New Roman" w:cs="Times New Roman"/>
          <w:sz w:val="26"/>
          <w:szCs w:val="26"/>
        </w:rPr>
        <w:t>во исполнение обязанности по установке системы оповещения и управления эвакуации на объекте ООО «Оникс К.</w:t>
      </w:r>
      <w:r>
        <w:rPr>
          <w:rFonts w:ascii="Times New Roman" w:eastAsia="Times New Roman" w:hAnsi="Times New Roman" w:cs="Times New Roman"/>
          <w:sz w:val="26"/>
          <w:szCs w:val="26"/>
        </w:rPr>
        <w:t>Т.К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магазин «Копейка»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ноябре 2023 года посредством интернета был найден специалист по установке оборудования по</w:t>
      </w:r>
      <w:r>
        <w:rPr>
          <w:rFonts w:ascii="Times New Roman" w:eastAsia="Times New Roman" w:hAnsi="Times New Roman" w:cs="Times New Roman"/>
          <w:sz w:val="26"/>
          <w:szCs w:val="26"/>
        </w:rPr>
        <w:t>жарной сигнализации, с которым 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договорилась об установке системы оповещения и управления эвакуацией. Данный специалист прибыл на объект, произвел осмотр, составил схему установки, назвал сумму оплаты за установку оборудования в размере 95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(девяност</w:t>
      </w:r>
      <w:r>
        <w:rPr>
          <w:rFonts w:ascii="Times New Roman" w:eastAsia="Times New Roman" w:hAnsi="Times New Roman" w:cs="Times New Roman"/>
          <w:sz w:val="26"/>
          <w:szCs w:val="26"/>
        </w:rPr>
        <w:t>о пять тысяч) рублей. Предоплата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работу </w:t>
      </w:r>
      <w:r>
        <w:rPr>
          <w:rFonts w:ascii="Times New Roman" w:eastAsia="Times New Roman" w:hAnsi="Times New Roman" w:cs="Times New Roman"/>
          <w:sz w:val="26"/>
          <w:szCs w:val="26"/>
        </w:rPr>
        <w:t>была передана тому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наличными деньгами в размере 20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(двадцать тысяч) рублей. После этого специалист перестал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отвечать на звонки по телефону, </w:t>
      </w:r>
      <w:r>
        <w:rPr>
          <w:rFonts w:ascii="Times New Roman" w:eastAsia="Times New Roman" w:hAnsi="Times New Roman" w:cs="Times New Roman"/>
          <w:sz w:val="26"/>
          <w:szCs w:val="26"/>
        </w:rPr>
        <w:t>03.01.2024 года вернул деньги</w:t>
      </w:r>
      <w:r>
        <w:rPr>
          <w:rFonts w:ascii="Times New Roman" w:eastAsia="Times New Roman" w:hAnsi="Times New Roman" w:cs="Times New Roman"/>
          <w:sz w:val="26"/>
          <w:szCs w:val="26"/>
        </w:rPr>
        <w:t>. Официально составленного договора на установку оборудования составлено не было, факт передачи денег подтвердить не мо</w:t>
      </w:r>
      <w:r>
        <w:rPr>
          <w:rFonts w:ascii="Times New Roman" w:eastAsia="Times New Roman" w:hAnsi="Times New Roman" w:cs="Times New Roman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связи с </w:t>
      </w:r>
      <w:r>
        <w:rPr>
          <w:rFonts w:ascii="Times New Roman" w:eastAsia="Times New Roman" w:hAnsi="Times New Roman" w:cs="Times New Roman"/>
          <w:sz w:val="26"/>
          <w:szCs w:val="26"/>
        </w:rPr>
        <w:t>указанными обстоятельствами выполнить установку системы оповещения и управления эвакуацией до указанного в акте обследования срока устранения недостатка в антитеррористической защищенности не представилось возможным. В настоящее время 09.01.2024 года заключен новый договор на оказание услуг с ООО «</w:t>
      </w:r>
      <w:r>
        <w:rPr>
          <w:rFonts w:ascii="Times New Roman" w:eastAsia="Times New Roman" w:hAnsi="Times New Roman" w:cs="Times New Roman"/>
          <w:sz w:val="26"/>
          <w:szCs w:val="26"/>
        </w:rPr>
        <w:t>Автоматиксервисстрой</w:t>
      </w:r>
      <w:r>
        <w:rPr>
          <w:rFonts w:ascii="Times New Roman" w:eastAsia="Times New Roman" w:hAnsi="Times New Roman" w:cs="Times New Roman"/>
          <w:sz w:val="26"/>
          <w:szCs w:val="26"/>
        </w:rPr>
        <w:t>» по установке системы оповещения и управления эвакуацией со сроком завершения выполняемых работ не позднее 10.02.2024г.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ходе рассмотрения дела </w:t>
      </w:r>
      <w:r>
        <w:rPr>
          <w:rFonts w:ascii="Times New Roman" w:eastAsia="Times New Roman" w:hAnsi="Times New Roman" w:cs="Times New Roman"/>
          <w:sz w:val="26"/>
          <w:szCs w:val="26"/>
        </w:rPr>
        <w:t>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событие административного правонарушения не оспаривал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в содеянном раскаял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назначить наказание в виде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Пояснила, что вышеуказанный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недостаток устранен, </w:t>
      </w:r>
      <w:r>
        <w:rPr>
          <w:rFonts w:ascii="Times New Roman" w:eastAsia="Times New Roman" w:hAnsi="Times New Roman" w:cs="Times New Roman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оповещения и управления эвакуацией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Мулееву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>, исследовав материалы дела, мировой судья приходит к следующему.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1 ст. 20.35 Кодекса Российской Федерации об административных правонарушениях предусмотрена административная ответственность должностных лиц за нарушение </w:t>
      </w:r>
      <w:hyperlink r:id="rId5" w:anchor="/multilink/12125267/paragraph/274226479/number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требований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5" w:anchor="/document/12125267/entry/2035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</w:t>
      </w:r>
      <w:hyperlink r:id="rId5" w:anchor="/document/12125267/entry/1115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11.15.1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5" w:anchor="/document/12125267/entry/203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20.30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Кодекса, если эти действия не содержат признаков уголовно наказуемого деяния.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 Федерального закона от 6 марта 2006 года № 35-ФЗ «О противодействии терроризму», правовую основу противодействия терроризму составляют Конституция РФ, общепризнанные принципы и нормы международного права, международные договоры РФ, настоящий Федеральный закон и другие федеральные законы, нормативные правовые акты Президента РФ, нормативные правовые акты Правительства РФ, а также принимаемые в соответствии с ними нормативные правовые акты других федеральных органов государственной власти.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10 Концепции противодействия терроризму в Российской Федерации, утвержденной Указом Президента Российской Федерации от 05.10.2009 (далее - Концепция)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«Б» пункта 13 Концепции определено, что предупреждение терроризма осуществляется посредством реализации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>. 4 ч. 2 ст. 5 Федерального закона от 06.03.2006 № 35-ФЗ «О противодействии терроризму» устанавливает Правительство Российской Федерации.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требованиям п. 3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Правительства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ответственность за обеспечение антитеррористической защищенности торговых объектов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(территорий) возлагается на юридических и физических лиц, владеющих на праве собственности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основании, а также на должностных лиц, осуществляющих непосредственное руководство деятельностью работников торговых объектов (территорий). </w:t>
      </w:r>
    </w:p>
    <w:p>
      <w:pPr>
        <w:spacing w:before="0" w:after="1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Мулеевой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 административного правонарушения при вышеуказанных обстоятельствах подтверждается исследованными в ходе судебного заседания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86ОВО107020224000001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описано правонарушение, совершенное </w:t>
      </w:r>
      <w:r>
        <w:rPr>
          <w:rFonts w:ascii="Times New Roman" w:eastAsia="Times New Roman" w:hAnsi="Times New Roman" w:cs="Times New Roman"/>
          <w:sz w:val="26"/>
          <w:szCs w:val="26"/>
        </w:rPr>
        <w:t>Мулеевой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паспорта серии и номера </w:t>
      </w:r>
      <w:r>
        <w:rPr>
          <w:rStyle w:val="cat-ExternalSystemDefinedgrp-76rplc-5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77rplc-5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Мулеевой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приказа (распоряжения)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</w:rPr>
        <w:t>Оникс К.Т.К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 переводе работника на другую работу,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Мулеева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переведена на должность </w:t>
      </w:r>
      <w:r>
        <w:rPr>
          <w:rFonts w:ascii="Times New Roman" w:eastAsia="Times New Roman" w:hAnsi="Times New Roman" w:cs="Times New Roman"/>
          <w:sz w:val="26"/>
          <w:szCs w:val="26"/>
        </w:rPr>
        <w:t>коммерческого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</w:rPr>
        <w:t>Оникс К.Т.К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";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должностной инструкции </w:t>
      </w:r>
      <w:r>
        <w:rPr>
          <w:rFonts w:ascii="Times New Roman" w:eastAsia="Times New Roman" w:hAnsi="Times New Roman" w:cs="Times New Roman"/>
          <w:sz w:val="26"/>
          <w:szCs w:val="26"/>
        </w:rPr>
        <w:t>коммерческого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приказа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</w:rPr>
        <w:t>Оникс К.Т.К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назначении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антитеррористическую </w:t>
      </w:r>
      <w:r>
        <w:rPr>
          <w:rFonts w:ascii="Times New Roman" w:eastAsia="Times New Roman" w:hAnsi="Times New Roman" w:cs="Times New Roman"/>
          <w:sz w:val="26"/>
          <w:szCs w:val="26"/>
        </w:rPr>
        <w:t>защищенность, а также хранении и порядке обращения с паспортом безопасности объекта магазин «Копейка»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коммерческого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Мулееву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решения № 2 единственного учредителя (участника) Общества ООО «Оникс К.Т.К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 от 05.07.2006 года, о продлении срока полномочий Генерального директора ООО «Оникс К.Т.К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eastAsia="Times New Roman" w:hAnsi="Times New Roman" w:cs="Times New Roman"/>
          <w:sz w:val="26"/>
          <w:szCs w:val="26"/>
        </w:rPr>
        <w:t>Капканьщиковой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новый срок – бессрочно;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Устава ООО «Оникс К.Т.К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 от 10.01.2012 года;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свидетельства о государственной регистрации права на ООО «Оникс К.Т.К» от 09.07.2009 года;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свидетельства о постановке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09.04.2002г. ООО «Оникс К.Т.К.»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учет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налоговом органе юридического лица, образованного в соответствии с законодательством РФ по месту нахождения на территории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присвоением ИНН </w:t>
      </w:r>
      <w:r>
        <w:rPr>
          <w:rStyle w:val="cat-UserDefinedgrp-69rplc-7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свидетельства о внесении записи в Единый государственный реестр юридических лиц о юридическом лице, зарегистрированном до 1 июля 2002 года, на ООО «Оникс К.Т.К», за ОГРН </w:t>
      </w:r>
      <w:r>
        <w:rPr>
          <w:rStyle w:val="cat-UserDefinedgrp-82rplc-7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выписки из ЕГРЮЛ № </w:t>
      </w:r>
      <w:r>
        <w:rPr>
          <w:rStyle w:val="cat-UserDefinedgrp-81rplc-8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29.01.2024г., на ООО «Оникс К.Т.К.»;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акта обследования и категорирования объекта магазина «Копейка»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«Оникс К.Т.К.»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28.03.2023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было выявлено 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>. «б» п. 30 постановления Правительства РФ, выразившееся в отсутствии на данном объекте системы оповещения и управления эвакуацией людей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акта обследования и категорирования объекта магазина «Копейка» 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которому выявлен</w:t>
      </w:r>
      <w:r>
        <w:rPr>
          <w:rFonts w:ascii="Times New Roman" w:eastAsia="Times New Roman" w:hAnsi="Times New Roman" w:cs="Times New Roman"/>
          <w:sz w:val="26"/>
          <w:szCs w:val="26"/>
        </w:rPr>
        <w:t>ное 28.03.2023 года в ходе обследования объекта – магазина «Копейка»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>. «б» п. 30 постановления Правительства РФ, выразившееся в отсутствии на данном объекте системы оповещения и управления эвакуацией людей</w:t>
      </w:r>
      <w:r>
        <w:rPr>
          <w:rFonts w:ascii="Times New Roman" w:eastAsia="Times New Roman" w:hAnsi="Times New Roman" w:cs="Times New Roman"/>
          <w:sz w:val="26"/>
          <w:szCs w:val="26"/>
        </w:rPr>
        <w:t>, не устранено в установленный срок – 29.12.2023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доверенности ООО «Оникс К.Т.К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№ 82 АА 1865694 от 06.05.2020г. на </w:t>
      </w:r>
      <w:r>
        <w:rPr>
          <w:rFonts w:ascii="Times New Roman" w:eastAsia="Times New Roman" w:hAnsi="Times New Roman" w:cs="Times New Roman"/>
          <w:sz w:val="26"/>
          <w:szCs w:val="26"/>
        </w:rPr>
        <w:t>Мулееву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договора № 19/1/24 от 09.01.2024г.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монтаж системы оповещения в магазине «Копейка», расположенного в г. Мегионе, по ул. Заречная, д. 15/3;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рапорта </w:t>
      </w:r>
      <w:r>
        <w:rPr>
          <w:rFonts w:ascii="Times New Roman" w:eastAsia="Times New Roman" w:hAnsi="Times New Roman" w:cs="Times New Roman"/>
          <w:sz w:val="26"/>
          <w:szCs w:val="26"/>
        </w:rPr>
        <w:t>врио ст. инспектора ГОООПОО Нижневартовского МОВО – филиала ФГКУ «УВО ВНГ России по ХМАО - Югре» от 23.01.2024 года, согласно которому, 22.01.2024 года в 15:00 часов в ходе работы межведомственной комиссии по плановому обследованию объекта торговли ООО «Оникс К.Т.К.», магазин «Копейка», расположенного по адресу: ХМАО – Югра, г. Мегион, ул. Заречная, д. 15/3 было установлено,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Правительства РФ от 19.10.2017 N 1273 «Об утверждении требований к антитеррористической защищенности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торговых объектов (территорий) и формы паспорта безопасности торгового объекта (территории)»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соблюдаются не в полном объеме.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28.03.2023 года при обследовании с целью актуализации паспорта безопасности на данном объекте было выявлено отсутствие системы оповещения и управления эвакуацией людей. Согласно требованиям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>. «б» п. 30 постановления Правительства РФ от 19.10.2017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№ 1273, торговый объект (территория) независимо от его категории оборудуется системой оповещения и управления эвакуацией. Данный недостаток был внесен межведомственной комиссией в акт обследования от 28.03.2023 года с указанием срока исполнения до 29.12.2023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22.01.2024 года во время работы межведомственной комиссии </w:t>
      </w:r>
      <w:r>
        <w:rPr>
          <w:rFonts w:ascii="Times New Roman" w:eastAsia="Times New Roman" w:hAnsi="Times New Roman" w:cs="Times New Roman"/>
          <w:sz w:val="26"/>
          <w:szCs w:val="26"/>
        </w:rPr>
        <w:t>было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объект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дату обследования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оборудован системой оповещения и управления эвакуацией, срок устранения данного недостатка истек 30.12.2023 года</w:t>
      </w:r>
      <w:r>
        <w:rPr>
          <w:rFonts w:ascii="Times New Roman" w:eastAsia="Times New Roman" w:hAnsi="Times New Roman" w:cs="Times New Roman"/>
          <w:sz w:val="26"/>
          <w:szCs w:val="26"/>
        </w:rPr>
        <w:t>, тем самым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нарушены требования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>. «б» п. 30 постановления Правительства РФ от 19.10.2017г. № 1273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Мулеевой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отвечают положениям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26.3, 28.2, 25.6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деяние </w:t>
      </w:r>
      <w:r>
        <w:rPr>
          <w:rFonts w:ascii="Times New Roman" w:eastAsia="Times New Roman" w:hAnsi="Times New Roman" w:cs="Times New Roman"/>
          <w:sz w:val="26"/>
          <w:szCs w:val="26"/>
        </w:rPr>
        <w:t>Мулеевой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 ч. 1 ст. 20.35 Кодекса Российской Федерации об административных правонарушениях,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предусмотренных частью 2 статьи, статьями 11.15.1 и 20.30 КоАП РФ, если эти действия не содержат признаков уголовно наказуемого деяния.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ответственность, является раскаяние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содеянном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мировым судьей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личность правонарушителя, ее имущественное положение, характер правонарушения, наличие смягчающих и отсутствие отягчающих наказание обстоятельств, полагая возможным назначить наказание в виде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4.1,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4.2, </w:t>
      </w:r>
      <w:r>
        <w:rPr>
          <w:rFonts w:ascii="Times New Roman" w:eastAsia="Times New Roman" w:hAnsi="Times New Roman" w:cs="Times New Roman"/>
          <w:sz w:val="26"/>
          <w:szCs w:val="26"/>
        </w:rPr>
        <w:t>29.4, 29.9-29.12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Признать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Мулееву</w:t>
      </w:r>
      <w:r>
        <w:rPr>
          <w:b w:val="0"/>
          <w:bCs w:val="0"/>
          <w:i w:val="0"/>
          <w:sz w:val="26"/>
          <w:szCs w:val="26"/>
        </w:rPr>
        <w:t xml:space="preserve"> Розу </w:t>
      </w:r>
      <w:r>
        <w:rPr>
          <w:b w:val="0"/>
          <w:bCs w:val="0"/>
          <w:i w:val="0"/>
          <w:sz w:val="26"/>
          <w:szCs w:val="26"/>
        </w:rPr>
        <w:t>Рагиповну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виновн</w:t>
      </w:r>
      <w:r>
        <w:rPr>
          <w:b w:val="0"/>
          <w:bCs w:val="0"/>
          <w:i w:val="0"/>
          <w:sz w:val="26"/>
          <w:szCs w:val="26"/>
        </w:rPr>
        <w:t>ой</w:t>
      </w:r>
      <w:r>
        <w:rPr>
          <w:b w:val="0"/>
          <w:bCs w:val="0"/>
          <w:i w:val="0"/>
          <w:sz w:val="26"/>
          <w:szCs w:val="26"/>
        </w:rPr>
        <w:t xml:space="preserve"> в совершении правонарушения, предусмотренного частью 1 статьи 20.35 </w:t>
      </w:r>
      <w:r>
        <w:rPr>
          <w:b w:val="0"/>
          <w:bCs w:val="0"/>
          <w:i w:val="0"/>
          <w:sz w:val="26"/>
          <w:szCs w:val="26"/>
        </w:rPr>
        <w:t>Кодекса Российской Федерации об административных правонарушениях</w:t>
      </w:r>
      <w:r>
        <w:rPr>
          <w:b w:val="0"/>
          <w:bCs w:val="0"/>
          <w:i w:val="0"/>
          <w:sz w:val="26"/>
          <w:szCs w:val="26"/>
        </w:rPr>
        <w:t>,</w:t>
      </w:r>
      <w:r>
        <w:rPr>
          <w:b w:val="0"/>
          <w:bCs w:val="0"/>
          <w:i w:val="0"/>
          <w:sz w:val="26"/>
          <w:szCs w:val="26"/>
        </w:rPr>
        <w:t xml:space="preserve"> и назначить </w:t>
      </w:r>
      <w:r>
        <w:rPr>
          <w:b w:val="0"/>
          <w:bCs w:val="0"/>
          <w:i w:val="0"/>
          <w:sz w:val="26"/>
          <w:szCs w:val="26"/>
        </w:rPr>
        <w:t>ей</w:t>
      </w:r>
      <w:r>
        <w:rPr>
          <w:b w:val="0"/>
          <w:bCs w:val="0"/>
          <w:i w:val="0"/>
          <w:sz w:val="26"/>
          <w:szCs w:val="26"/>
        </w:rPr>
        <w:t xml:space="preserve"> наказание в виде административного штрафа в размере 30 000 (тридцать тысяч) рублей.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может быть обжаловано в порядке и сроки, установленные ст. ст. 30.1, 30.2, 30.3 Кодекса Российской Федерации об административных правонарушениях, подачей жалобы в Мегионский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непосредственно либо через мирового судью в течение 10 суток со дня вручения, получения копии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Мегионского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М.В. Яковченко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Наименование получателя: 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. 04872D08080), наименование банка: РКЦ Ханты-Мансийск//УФК по ХМАО-Югре г. Ханты-Мансийск; номер счета получателя (номер казначейского счета) 03100643000000018700; банковский счет, входящий в состав единого казначейского счета (ЕКС) 40102810245370000007; БИК 007162163, ОКТМО 71873000; ИНН 8601073664; КПП 860101001; КБК 72011601203019000140;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0412365400195001622420180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73"/>
        <w:gridCol w:w="3696"/>
        <w:gridCol w:w="260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79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QR-код для оплаты административного штрафа.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Реквизиты «КБК», «УИН» и 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ОКТМО»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подлежат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заполнению самостоятельно.</w:t>
            </w:r>
          </w:p>
        </w:tc>
        <w:tc>
          <w:tcPr>
            <w:tcW w:w="290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Статья 32.2 КоАП РФ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частями 1.1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6" w:anchor="sub_302013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1.3 - 1.3-3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hyperlink r:id="rId6" w:anchor="sub_302014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1.4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данной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статьей 31.5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КоАП РФ.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Статья 31.5 КоАП РФ.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«КОПИЯ ВЕРНА»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подпись мирового судьи_____________________ </w:t>
      </w:r>
      <w:r>
        <w:rPr>
          <w:rFonts w:ascii="Times New Roman" w:eastAsia="Times New Roman" w:hAnsi="Times New Roman" w:cs="Times New Roman"/>
        </w:rPr>
        <w:t>М.В. Яковченко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Аппарата мирового судьи____________________ А.М. Хомякова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80rplc-9">
    <w:name w:val="cat-UserDefined grp-80 rplc-9"/>
    <w:basedOn w:val="DefaultParagraphFont"/>
  </w:style>
  <w:style w:type="character" w:customStyle="1" w:styleId="cat-UserDefinedgrp-79rplc-16">
    <w:name w:val="cat-UserDefined grp-79 rplc-16"/>
    <w:basedOn w:val="DefaultParagraphFont"/>
  </w:style>
  <w:style w:type="character" w:customStyle="1" w:styleId="cat-ExternalSystemDefinedgrp-76rplc-52">
    <w:name w:val="cat-ExternalSystemDefined grp-76 rplc-52"/>
    <w:basedOn w:val="DefaultParagraphFont"/>
  </w:style>
  <w:style w:type="character" w:customStyle="1" w:styleId="cat-ExternalSystemDefinedgrp-77rplc-54">
    <w:name w:val="cat-ExternalSystemDefined grp-77 rplc-54"/>
    <w:basedOn w:val="DefaultParagraphFont"/>
  </w:style>
  <w:style w:type="character" w:customStyle="1" w:styleId="cat-UserDefinedgrp-69rplc-76">
    <w:name w:val="cat-UserDefined grp-69 rplc-76"/>
    <w:basedOn w:val="DefaultParagraphFont"/>
  </w:style>
  <w:style w:type="character" w:customStyle="1" w:styleId="cat-UserDefinedgrp-82rplc-79">
    <w:name w:val="cat-UserDefined grp-82 rplc-79"/>
    <w:basedOn w:val="DefaultParagraphFont"/>
  </w:style>
  <w:style w:type="character" w:customStyle="1" w:styleId="cat-UserDefinedgrp-81rplc-80">
    <w:name w:val="cat-UserDefined grp-81 rplc-8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\\srvhv-mgn1\Exchange\&#1052;&#1072;&#1082;&#1089;&#1080;&#1084;\1.%20&#1040;&#1044;&#1052;&#1048;&#1053;&#1048;&#1057;&#1058;&#1056;&#1040;&#1058;&#1048;&#1042;&#1053;&#1067;&#1045;\&#1055;&#1088;&#1086;&#1077;&#1082;&#1090;&#1099;\05.12.2022\&#1041;&#1072;&#1085;&#1085;&#1080;&#1082;&#1086;&#1074;%20&#1057;&#1042;%201462%20&#1087;&#1086;%20&#1095;.%201%20&#1089;&#1090;.%2020.25%20&#1043;&#1048;&#1041;&#1044;&#1044;%20-%20&#1096;&#1090;&#1088;&#1072;&#1092;.doc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